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差旅费管理办法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val="en-US" w:eastAsia="zh-CN"/>
        </w:rPr>
      </w:pPr>
      <w:r>
        <w:rPr>
          <w:rFonts w:hint="eastAsia" w:ascii="黑体" w:hAnsi="黑体" w:eastAsia="黑体" w:cs="黑体"/>
          <w:lang w:eastAsia="zh-CN"/>
        </w:rPr>
        <w:t>第一章</w:t>
      </w:r>
      <w:r>
        <w:rPr>
          <w:rFonts w:hint="eastAsia" w:ascii="黑体" w:hAnsi="黑体" w:eastAsia="黑体" w:cs="黑体"/>
          <w:lang w:val="en-US" w:eastAsia="zh-CN"/>
        </w:rPr>
        <w:t xml:space="preserve"> 总则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第一条</w:t>
      </w:r>
      <w:r>
        <w:rPr>
          <w:rFonts w:hint="eastAsia"/>
          <w:lang w:val="en-US" w:eastAsia="zh-CN"/>
        </w:rPr>
        <w:t xml:space="preserve"> </w:t>
      </w:r>
      <w:r>
        <w:rPr>
          <w:rFonts w:hint="eastAsia"/>
          <w:lang w:eastAsia="zh-CN"/>
        </w:rPr>
        <w:t>为加强和规范成都市金堂社区发展基金会（以下简称“金堂基金会”）差旅费管理，本着厉行节约的原则，制定《成都市金堂社区发展基金会差旅费管理办法》（以下简称“本办法”）。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第二条</w:t>
      </w:r>
      <w:r>
        <w:rPr>
          <w:rFonts w:hint="eastAsia"/>
          <w:lang w:eastAsia="zh-CN"/>
        </w:rPr>
        <w:t xml:space="preserve"> 本办法适用于金堂基金会全体工作人员。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第三条</w:t>
      </w:r>
      <w:r>
        <w:rPr>
          <w:rFonts w:hint="eastAsia"/>
          <w:lang w:eastAsia="zh-CN"/>
        </w:rPr>
        <w:t xml:space="preserve"> 差旅费是指工作人员因工作需要到成都以外地区出差所发生的城市间交通费、住宿费、伙食补助费和公杂费等相关费用。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第四条</w:t>
      </w:r>
      <w:r>
        <w:rPr>
          <w:rFonts w:hint="eastAsia"/>
          <w:lang w:eastAsia="zh-CN"/>
        </w:rPr>
        <w:t xml:space="preserve"> 城市间交通费和住宿费在规定标准内凭据报销，伙食补助费和公杂费等费用实行定额包干。</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第五条</w:t>
      </w:r>
      <w:r>
        <w:rPr>
          <w:rFonts w:hint="eastAsia"/>
          <w:lang w:eastAsia="zh-CN"/>
        </w:rPr>
        <w:t xml:space="preserve"> 金堂基金会应当严格出差审批制度，实行先申请审批、后出差的流程（出差审批流程及申请单见附件），从严控制出差人数和天数；严禁无实质内容、无明确公务目的的差旅活动，严禁以任何名义和方式变相旅游。</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第六条</w:t>
      </w:r>
      <w:r>
        <w:rPr>
          <w:rFonts w:hint="eastAsia"/>
          <w:lang w:eastAsia="zh-CN"/>
        </w:rPr>
        <w:t xml:space="preserve"> 差旅费标准按照分地区、分项目的原则制定，并根据经济发展水平和消费水平变动情况适时调整。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val="en-US" w:eastAsia="zh-CN"/>
        </w:rPr>
      </w:pPr>
      <w:r>
        <w:rPr>
          <w:rFonts w:hint="eastAsia" w:ascii="黑体" w:hAnsi="黑体" w:eastAsia="黑体" w:cs="黑体"/>
          <w:lang w:eastAsia="zh-CN"/>
        </w:rPr>
        <w:t>第二章</w:t>
      </w:r>
      <w:r>
        <w:rPr>
          <w:rFonts w:hint="eastAsia" w:ascii="黑体" w:hAnsi="黑体" w:eastAsia="黑体" w:cs="黑体"/>
          <w:lang w:val="en-US" w:eastAsia="zh-CN"/>
        </w:rPr>
        <w:t xml:space="preserve"> </w:t>
      </w:r>
      <w:r>
        <w:rPr>
          <w:rFonts w:hint="eastAsia" w:ascii="黑体" w:hAnsi="黑体" w:eastAsia="黑体" w:cs="黑体"/>
          <w:lang w:eastAsia="zh-CN"/>
        </w:rPr>
        <w:t>城市间交通费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第七条</w:t>
      </w:r>
      <w:r>
        <w:rPr>
          <w:rFonts w:hint="eastAsia"/>
          <w:lang w:val="en-US" w:eastAsia="zh-CN"/>
        </w:rPr>
        <w:t xml:space="preserve"> </w:t>
      </w:r>
      <w:r>
        <w:rPr>
          <w:rFonts w:hint="eastAsia"/>
          <w:lang w:eastAsia="zh-CN"/>
        </w:rPr>
        <w:t>城市间交通费是指工作人员因公到成都以外地区出差乘坐飞机、火车、轮船等交通工具所发生的费用。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第八条</w:t>
      </w:r>
      <w:r>
        <w:rPr>
          <w:rFonts w:hint="eastAsia"/>
          <w:lang w:val="en-US" w:eastAsia="zh-CN"/>
        </w:rPr>
        <w:t xml:space="preserve"> </w:t>
      </w:r>
      <w:r>
        <w:rPr>
          <w:rFonts w:hint="eastAsia"/>
          <w:lang w:eastAsia="zh-CN"/>
        </w:rPr>
        <w:t>出差工作人员应根据实际路程远近及时间紧急情况，选择合适交通工具，凭票报销城市间交通费，未按规定乘坐交通工具的，超支部分自理。出差人员乘坐交通工具类别和标准如下：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飞机</w:t>
            </w:r>
          </w:p>
        </w:tc>
        <w:tc>
          <w:tcPr>
            <w:tcW w:w="2130"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轮船</w:t>
            </w:r>
          </w:p>
        </w:tc>
        <w:tc>
          <w:tcPr>
            <w:tcW w:w="2131"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火车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（高铁/动车）</w:t>
            </w:r>
          </w:p>
        </w:tc>
        <w:tc>
          <w:tcPr>
            <w:tcW w:w="2131"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汽车及其它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130"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经济舱</w:t>
            </w:r>
          </w:p>
        </w:tc>
        <w:tc>
          <w:tcPr>
            <w:tcW w:w="2130"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二等舱</w:t>
            </w:r>
          </w:p>
        </w:tc>
        <w:tc>
          <w:tcPr>
            <w:tcW w:w="2131"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二等座/硬卧</w:t>
            </w:r>
          </w:p>
        </w:tc>
        <w:tc>
          <w:tcPr>
            <w:tcW w:w="2131"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b w:val="0"/>
                <w:bCs w:val="0"/>
                <w:vertAlign w:val="baseline"/>
                <w:lang w:eastAsia="zh-CN"/>
              </w:rPr>
            </w:pPr>
            <w:r>
              <w:rPr>
                <w:rFonts w:hint="eastAsia" w:ascii="方正楷体简体" w:hAnsi="方正楷体简体" w:eastAsia="方正楷体简体" w:cs="方正楷体简体"/>
                <w:b w:val="0"/>
                <w:bCs w:val="0"/>
                <w:vertAlign w:val="baseline"/>
                <w:lang w:eastAsia="zh-CN"/>
              </w:rPr>
              <w:t>凭票报销</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第九条</w:t>
      </w:r>
      <w:r>
        <w:rPr>
          <w:rFonts w:hint="eastAsia"/>
          <w:lang w:val="en-US" w:eastAsia="zh-CN"/>
        </w:rPr>
        <w:t xml:space="preserve"> </w:t>
      </w:r>
      <w:r>
        <w:rPr>
          <w:rFonts w:hint="eastAsia"/>
          <w:lang w:eastAsia="zh-CN"/>
        </w:rPr>
        <w:t>乘坐火车，连续乘车超过</w:t>
      </w:r>
      <w:r>
        <w:rPr>
          <w:rFonts w:hint="eastAsia"/>
          <w:lang w:val="en-US" w:eastAsia="zh-CN"/>
        </w:rPr>
        <w:t>8</w:t>
      </w:r>
      <w:r>
        <w:rPr>
          <w:rFonts w:hint="eastAsia"/>
          <w:lang w:eastAsia="zh-CN"/>
        </w:rPr>
        <w:t>小时的，可购卧铺车票。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r>
        <w:rPr>
          <w:rFonts w:hint="eastAsia"/>
          <w:b/>
          <w:bCs/>
          <w:lang w:eastAsia="zh-CN"/>
        </w:rPr>
        <w:t>第十条</w:t>
      </w:r>
      <w:r>
        <w:rPr>
          <w:rFonts w:hint="eastAsia"/>
          <w:lang w:val="en-US" w:eastAsia="zh-CN"/>
        </w:rPr>
        <w:t xml:space="preserve"> </w:t>
      </w:r>
      <w:r>
        <w:rPr>
          <w:rFonts w:hint="eastAsia"/>
          <w:lang w:eastAsia="zh-CN"/>
        </w:rPr>
        <w:t>乘坐飞机，往返机场客车费用、民航发展基金、机场建设费和航空旅客人身意外伤害保险等，凭票报销。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第三章</w:t>
      </w:r>
      <w:r>
        <w:rPr>
          <w:rFonts w:hint="eastAsia" w:ascii="黑体" w:hAnsi="黑体" w:eastAsia="黑体" w:cs="黑体"/>
          <w:lang w:val="en-US" w:eastAsia="zh-CN"/>
        </w:rPr>
        <w:t xml:space="preserve"> </w:t>
      </w:r>
      <w:r>
        <w:rPr>
          <w:rFonts w:hint="eastAsia" w:ascii="黑体" w:hAnsi="黑体" w:eastAsia="黑体" w:cs="黑体"/>
          <w:lang w:eastAsia="zh-CN"/>
        </w:rPr>
        <w:t>住宿费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第十一条</w:t>
      </w:r>
      <w:r>
        <w:rPr>
          <w:rFonts w:hint="eastAsia"/>
          <w:lang w:val="en-US" w:eastAsia="zh-CN"/>
        </w:rPr>
        <w:t xml:space="preserve"> </w:t>
      </w:r>
      <w:r>
        <w:rPr>
          <w:rFonts w:hint="eastAsia"/>
          <w:lang w:eastAsia="zh-CN"/>
        </w:rPr>
        <w:t>住宿费是指工作人员因公出差期间入住宾馆、酒店等发生的房租费用。</w:t>
      </w:r>
    </w:p>
    <w:tbl>
      <w:tblPr>
        <w:tblStyle w:val="5"/>
        <w:tblpPr w:leftFromText="180" w:rightFromText="180" w:vertAnchor="text" w:horzAnchor="page" w:tblpX="1575" w:tblpY="816"/>
        <w:tblOverlap w:val="never"/>
        <w:tblW w:w="90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1819"/>
        <w:gridCol w:w="1819"/>
        <w:gridCol w:w="1678"/>
        <w:gridCol w:w="1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A类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地区</w:t>
            </w:r>
          </w:p>
        </w:tc>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val="en-US" w:eastAsia="zh-CN"/>
              </w:rPr>
              <w:t>B</w:t>
            </w:r>
            <w:r>
              <w:rPr>
                <w:rFonts w:hint="eastAsia" w:ascii="方正楷体简体" w:hAnsi="方正楷体简体" w:eastAsia="方正楷体简体" w:cs="方正楷体简体"/>
                <w:sz w:val="28"/>
                <w:szCs w:val="28"/>
                <w:vertAlign w:val="baseline"/>
                <w:lang w:eastAsia="zh-CN"/>
              </w:rPr>
              <w:t>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地区</w:t>
            </w:r>
          </w:p>
        </w:tc>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val="en-US" w:eastAsia="zh-CN"/>
              </w:rPr>
              <w:t>C</w:t>
            </w:r>
            <w:r>
              <w:rPr>
                <w:rFonts w:hint="eastAsia" w:ascii="方正楷体简体" w:hAnsi="方正楷体简体" w:eastAsia="方正楷体简体" w:cs="方正楷体简体"/>
                <w:sz w:val="28"/>
                <w:szCs w:val="28"/>
                <w:vertAlign w:val="baseline"/>
                <w:lang w:eastAsia="zh-CN"/>
              </w:rPr>
              <w:t>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地区</w:t>
            </w: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val="en-US" w:eastAsia="zh-CN"/>
              </w:rPr>
              <w:t>D</w:t>
            </w:r>
            <w:r>
              <w:rPr>
                <w:rFonts w:hint="eastAsia" w:ascii="方正楷体简体" w:hAnsi="方正楷体简体" w:eastAsia="方正楷体简体" w:cs="方正楷体简体"/>
                <w:sz w:val="28"/>
                <w:szCs w:val="28"/>
                <w:vertAlign w:val="baseline"/>
                <w:lang w:eastAsia="zh-CN"/>
              </w:rPr>
              <w:t>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地区</w:t>
            </w:r>
          </w:p>
        </w:tc>
        <w:tc>
          <w:tcPr>
            <w:tcW w:w="1962"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lang w:eastAsia="zh-CN"/>
              </w:rPr>
            </w:pPr>
            <w:r>
              <w:rPr>
                <w:rFonts w:hint="eastAsia" w:ascii="方正楷体简体" w:hAnsi="方正楷体简体" w:eastAsia="方正楷体简体" w:cs="方正楷体简体"/>
                <w:sz w:val="28"/>
                <w:szCs w:val="28"/>
                <w:vertAlign w:val="baseline"/>
                <w:lang w:val="en-US" w:eastAsia="zh-CN"/>
              </w:rPr>
              <w:t>4</w:t>
            </w:r>
            <w:r>
              <w:rPr>
                <w:rFonts w:hint="eastAsia" w:ascii="方正楷体简体" w:hAnsi="方正楷体简体" w:eastAsia="方正楷体简体" w:cs="方正楷体简体"/>
                <w:sz w:val="28"/>
                <w:szCs w:val="28"/>
                <w:vertAlign w:val="baseline"/>
                <w:lang w:eastAsia="zh-CN"/>
              </w:rPr>
              <w:t>50</w:t>
            </w:r>
            <w:r>
              <w:rPr>
                <w:rFonts w:hint="eastAsia" w:ascii="方正楷体简体" w:hAnsi="方正楷体简体" w:eastAsia="方正楷体简体" w:cs="方正楷体简体"/>
                <w:sz w:val="28"/>
                <w:szCs w:val="28"/>
                <w:lang w:eastAsia="zh-CN"/>
              </w:rPr>
              <w:t>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lang w:eastAsia="zh-CN"/>
              </w:rPr>
              <w:t>（间/天）</w:t>
            </w:r>
          </w:p>
        </w:tc>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lang w:eastAsia="zh-CN"/>
              </w:rPr>
            </w:pPr>
            <w:r>
              <w:rPr>
                <w:rFonts w:hint="eastAsia" w:ascii="方正楷体简体" w:hAnsi="方正楷体简体" w:eastAsia="方正楷体简体" w:cs="方正楷体简体"/>
                <w:sz w:val="28"/>
                <w:szCs w:val="28"/>
                <w:vertAlign w:val="baseline"/>
                <w:lang w:val="en-US" w:eastAsia="zh-CN"/>
              </w:rPr>
              <w:t>40</w:t>
            </w:r>
            <w:r>
              <w:rPr>
                <w:rFonts w:hint="eastAsia" w:ascii="方正楷体简体" w:hAnsi="方正楷体简体" w:eastAsia="方正楷体简体" w:cs="方正楷体简体"/>
                <w:sz w:val="28"/>
                <w:szCs w:val="28"/>
                <w:vertAlign w:val="baseline"/>
                <w:lang w:eastAsia="zh-CN"/>
              </w:rPr>
              <w:t>0</w:t>
            </w:r>
            <w:r>
              <w:rPr>
                <w:rFonts w:hint="eastAsia" w:ascii="方正楷体简体" w:hAnsi="方正楷体简体" w:eastAsia="方正楷体简体" w:cs="方正楷体简体"/>
                <w:sz w:val="28"/>
                <w:szCs w:val="28"/>
                <w:lang w:eastAsia="zh-CN"/>
              </w:rPr>
              <w:t>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lang w:eastAsia="zh-CN"/>
              </w:rPr>
              <w:t>（间/天）</w:t>
            </w:r>
          </w:p>
        </w:tc>
        <w:tc>
          <w:tcPr>
            <w:tcW w:w="1819"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lang w:eastAsia="zh-CN"/>
              </w:rPr>
            </w:pPr>
            <w:r>
              <w:rPr>
                <w:rFonts w:hint="eastAsia" w:ascii="方正楷体简体" w:hAnsi="方正楷体简体" w:eastAsia="方正楷体简体" w:cs="方正楷体简体"/>
                <w:sz w:val="28"/>
                <w:szCs w:val="28"/>
                <w:vertAlign w:val="baseline"/>
                <w:lang w:val="en-US" w:eastAsia="zh-CN"/>
              </w:rPr>
              <w:t>35</w:t>
            </w:r>
            <w:r>
              <w:rPr>
                <w:rFonts w:hint="eastAsia" w:ascii="方正楷体简体" w:hAnsi="方正楷体简体" w:eastAsia="方正楷体简体" w:cs="方正楷体简体"/>
                <w:sz w:val="28"/>
                <w:szCs w:val="28"/>
                <w:vertAlign w:val="baseline"/>
                <w:lang w:eastAsia="zh-CN"/>
              </w:rPr>
              <w:t>0</w:t>
            </w:r>
            <w:r>
              <w:rPr>
                <w:rFonts w:hint="eastAsia" w:ascii="方正楷体简体" w:hAnsi="方正楷体简体" w:eastAsia="方正楷体简体" w:cs="方正楷体简体"/>
                <w:sz w:val="28"/>
                <w:szCs w:val="28"/>
                <w:lang w:eastAsia="zh-CN"/>
              </w:rPr>
              <w:t>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lang w:eastAsia="zh-CN"/>
              </w:rPr>
              <w:t>（间/天）</w:t>
            </w:r>
          </w:p>
        </w:tc>
        <w:tc>
          <w:tcPr>
            <w:tcW w:w="1678"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lang w:eastAsia="zh-CN"/>
              </w:rPr>
            </w:pPr>
            <w:r>
              <w:rPr>
                <w:rFonts w:hint="eastAsia" w:ascii="方正楷体简体" w:hAnsi="方正楷体简体" w:eastAsia="方正楷体简体" w:cs="方正楷体简体"/>
                <w:sz w:val="28"/>
                <w:szCs w:val="28"/>
                <w:vertAlign w:val="baseline"/>
                <w:lang w:val="en-US" w:eastAsia="zh-CN"/>
              </w:rPr>
              <w:t>30</w:t>
            </w:r>
            <w:r>
              <w:rPr>
                <w:rFonts w:hint="eastAsia" w:ascii="方正楷体简体" w:hAnsi="方正楷体简体" w:eastAsia="方正楷体简体" w:cs="方正楷体简体"/>
                <w:sz w:val="28"/>
                <w:szCs w:val="28"/>
                <w:vertAlign w:val="baseline"/>
                <w:lang w:eastAsia="zh-CN"/>
              </w:rPr>
              <w:t>0</w:t>
            </w:r>
            <w:r>
              <w:rPr>
                <w:rFonts w:hint="eastAsia" w:ascii="方正楷体简体" w:hAnsi="方正楷体简体" w:eastAsia="方正楷体简体" w:cs="方正楷体简体"/>
                <w:sz w:val="28"/>
                <w:szCs w:val="28"/>
                <w:lang w:eastAsia="zh-CN"/>
              </w:rPr>
              <w:t>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lang w:eastAsia="zh-CN"/>
              </w:rPr>
              <w:t>（间/天）</w:t>
            </w:r>
          </w:p>
        </w:tc>
        <w:tc>
          <w:tcPr>
            <w:tcW w:w="1962" w:type="dxa"/>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楷体简体" w:hAnsi="方正楷体简体" w:eastAsia="方正楷体简体" w:cs="方正楷体简体"/>
                <w:sz w:val="28"/>
                <w:szCs w:val="28"/>
                <w:vertAlign w:val="baseline"/>
                <w:lang w:eastAsia="zh-CN"/>
              </w:rPr>
            </w:pPr>
            <w:r>
              <w:rPr>
                <w:rFonts w:hint="eastAsia" w:ascii="方正楷体简体" w:hAnsi="方正楷体简体" w:eastAsia="方正楷体简体" w:cs="方正楷体简体"/>
                <w:sz w:val="28"/>
                <w:szCs w:val="28"/>
                <w:vertAlign w:val="baseline"/>
                <w:lang w:eastAsia="zh-CN"/>
              </w:rPr>
              <w:t>特殊情况上浮不超过20%</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第十二条</w:t>
      </w:r>
      <w:r>
        <w:rPr>
          <w:rFonts w:hint="eastAsia"/>
          <w:lang w:val="en-US" w:eastAsia="zh-CN"/>
        </w:rPr>
        <w:t xml:space="preserve"> </w:t>
      </w:r>
      <w:r>
        <w:rPr>
          <w:rFonts w:hint="eastAsia"/>
          <w:lang w:eastAsia="zh-CN"/>
        </w:rPr>
        <w:t>出差人员住宿费限额标准如下：</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lang w:eastAsia="zh-CN"/>
        </w:rPr>
      </w:pPr>
      <w:r>
        <w:rPr>
          <w:rFonts w:hint="eastAsia"/>
          <w:lang w:eastAsia="zh-CN"/>
        </w:rPr>
        <w:t>各类地区包含城市如下：</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lang w:eastAsia="zh-CN"/>
        </w:rPr>
      </w:pPr>
      <w:r>
        <w:rPr>
          <w:rFonts w:hint="eastAsia"/>
          <w:lang w:eastAsia="zh-CN"/>
        </w:rPr>
        <w:t>A类地区：北京、上海、天津、广州、深圳</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lang w:eastAsia="zh-CN"/>
        </w:rPr>
      </w:pPr>
      <w:r>
        <w:rPr>
          <w:rFonts w:hint="eastAsia"/>
          <w:lang w:eastAsia="zh-CN"/>
        </w:rPr>
        <w:t>B类地区：重庆、武汉、南京、杭州、厦门、西安、东莞、佛山、郑州、大连、青岛、宁波、温州、福州、三亚</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lang w:eastAsia="zh-CN"/>
        </w:rPr>
      </w:pPr>
      <w:r>
        <w:rPr>
          <w:rFonts w:hint="eastAsia"/>
          <w:lang w:eastAsia="zh-CN"/>
        </w:rPr>
        <w:t>C类地区：除A、B类以外省外省会城市</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lang w:eastAsia="zh-CN"/>
        </w:rPr>
      </w:pPr>
      <w:r>
        <w:rPr>
          <w:rFonts w:hint="eastAsia"/>
          <w:lang w:eastAsia="zh-CN"/>
        </w:rPr>
        <w:t>D类地区：除A、B、C类以外其他国内城市</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lang w:eastAsia="zh-CN"/>
        </w:rPr>
      </w:pPr>
      <w:r>
        <w:rPr>
          <w:rFonts w:hint="eastAsia"/>
          <w:b/>
          <w:bCs/>
          <w:lang w:eastAsia="zh-CN"/>
        </w:rPr>
        <w:t>第十三条</w:t>
      </w:r>
      <w:r>
        <w:rPr>
          <w:rFonts w:hint="eastAsia"/>
          <w:lang w:val="en-US" w:eastAsia="zh-CN"/>
        </w:rPr>
        <w:t xml:space="preserve"> </w:t>
      </w:r>
      <w:r>
        <w:rPr>
          <w:rFonts w:hint="eastAsia"/>
          <w:lang w:eastAsia="zh-CN"/>
        </w:rPr>
        <w:t>住宿标准为标准房，理事、监事成员按单人一间标准房核报；其他工作人员同性两人一同出差的，按两人一间标准房核报。</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lang w:eastAsia="zh-CN"/>
        </w:rPr>
      </w:pPr>
      <w:r>
        <w:rPr>
          <w:rFonts w:hint="eastAsia"/>
          <w:b/>
          <w:bCs/>
          <w:lang w:eastAsia="zh-CN"/>
        </w:rPr>
        <w:t>第十四条</w:t>
      </w:r>
      <w:r>
        <w:rPr>
          <w:rFonts w:hint="eastAsia"/>
          <w:lang w:val="en-US" w:eastAsia="zh-CN"/>
        </w:rPr>
        <w:t xml:space="preserve"> </w:t>
      </w:r>
      <w:r>
        <w:rPr>
          <w:rFonts w:hint="eastAsia"/>
          <w:lang w:eastAsia="zh-CN"/>
        </w:rPr>
        <w:t>出差人员应当在相对应的住宿费限额标准内，选择安全、经济、便捷的宾馆、酒店等住宿。</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第四章</w:t>
      </w:r>
      <w:r>
        <w:rPr>
          <w:rFonts w:hint="eastAsia" w:ascii="黑体" w:hAnsi="黑体" w:eastAsia="黑体" w:cs="黑体"/>
          <w:lang w:val="en-US" w:eastAsia="zh-CN"/>
        </w:rPr>
        <w:t xml:space="preserve"> </w:t>
      </w:r>
      <w:r>
        <w:rPr>
          <w:rFonts w:hint="eastAsia" w:ascii="黑体" w:hAnsi="黑体" w:eastAsia="黑体" w:cs="黑体"/>
          <w:lang w:eastAsia="zh-CN"/>
        </w:rPr>
        <w:t>伙食补助费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第十五条</w:t>
      </w:r>
      <w:r>
        <w:rPr>
          <w:rFonts w:hint="eastAsia"/>
          <w:lang w:val="en-US" w:eastAsia="zh-CN"/>
        </w:rPr>
        <w:t xml:space="preserve"> </w:t>
      </w:r>
      <w:r>
        <w:rPr>
          <w:rFonts w:hint="eastAsia"/>
          <w:lang w:eastAsia="zh-CN"/>
        </w:rPr>
        <w:t>伙食补助费是对工作人员在因公出差期间给予的伙食补助费用。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第十六条</w:t>
      </w:r>
      <w:r>
        <w:rPr>
          <w:rFonts w:hint="eastAsia"/>
          <w:lang w:val="en-US" w:eastAsia="zh-CN"/>
        </w:rPr>
        <w:t xml:space="preserve"> </w:t>
      </w:r>
      <w:r>
        <w:rPr>
          <w:rFonts w:hint="eastAsia"/>
          <w:lang w:eastAsia="zh-CN"/>
        </w:rPr>
        <w:t>伙食补助费按照出差自然天数计算，实行定额包干制度。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第十七条</w:t>
      </w:r>
      <w:r>
        <w:rPr>
          <w:rFonts w:hint="eastAsia"/>
          <w:lang w:val="en-US" w:eastAsia="zh-CN"/>
        </w:rPr>
        <w:t xml:space="preserve"> </w:t>
      </w:r>
      <w:r>
        <w:rPr>
          <w:rFonts w:hint="eastAsia"/>
          <w:lang w:eastAsia="zh-CN"/>
        </w:rPr>
        <w:t>出差人员伙食补助费原则上100元/人/天进行补助，西藏、新疆自治区，青海省，甘孜、阿坝、凉山州范围内出差按120元/人/天进行补助。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第十八条</w:t>
      </w:r>
      <w:r>
        <w:rPr>
          <w:rFonts w:hint="eastAsia"/>
          <w:lang w:val="en-US" w:eastAsia="zh-CN"/>
        </w:rPr>
        <w:t xml:space="preserve"> </w:t>
      </w:r>
      <w:r>
        <w:rPr>
          <w:rFonts w:hint="eastAsia"/>
          <w:lang w:eastAsia="zh-CN"/>
        </w:rPr>
        <w:t>出差人员应当自行用餐，凡由接待单位统一安排用餐的，不实行上述包干办法。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第五章</w:t>
      </w:r>
      <w:r>
        <w:rPr>
          <w:rFonts w:hint="eastAsia" w:ascii="黑体" w:hAnsi="黑体" w:eastAsia="黑体" w:cs="黑体"/>
          <w:lang w:val="en-US" w:eastAsia="zh-CN"/>
        </w:rPr>
        <w:t xml:space="preserve"> </w:t>
      </w:r>
      <w:r>
        <w:rPr>
          <w:rFonts w:hint="eastAsia" w:ascii="黑体" w:hAnsi="黑体" w:eastAsia="黑体" w:cs="黑体"/>
          <w:lang w:eastAsia="zh-CN"/>
        </w:rPr>
        <w:t>公杂费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第十九条</w:t>
      </w:r>
      <w:r>
        <w:rPr>
          <w:rFonts w:hint="eastAsia"/>
          <w:lang w:val="en-US" w:eastAsia="zh-CN"/>
        </w:rPr>
        <w:t xml:space="preserve"> </w:t>
      </w:r>
      <w:r>
        <w:rPr>
          <w:rFonts w:hint="eastAsia"/>
          <w:lang w:eastAsia="zh-CN"/>
        </w:rPr>
        <w:t>公杂费是指工作人员因公出差期间发生的市内交通费用等相关费用。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第二十条</w:t>
      </w:r>
      <w:r>
        <w:rPr>
          <w:rFonts w:hint="eastAsia"/>
          <w:lang w:val="en-US" w:eastAsia="zh-CN"/>
        </w:rPr>
        <w:t xml:space="preserve"> </w:t>
      </w:r>
      <w:r>
        <w:rPr>
          <w:rFonts w:hint="eastAsia"/>
          <w:lang w:eastAsia="zh-CN"/>
        </w:rPr>
        <w:t>公杂费按出差自然天数计算，按每人每天省内30元，省外50元的标准包干使用。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第二十一条</w:t>
      </w:r>
      <w:r>
        <w:rPr>
          <w:rFonts w:hint="eastAsia"/>
          <w:lang w:val="en-US" w:eastAsia="zh-CN"/>
        </w:rPr>
        <w:t xml:space="preserve"> </w:t>
      </w:r>
      <w:r>
        <w:rPr>
          <w:rFonts w:hint="eastAsia"/>
          <w:lang w:eastAsia="zh-CN"/>
        </w:rPr>
        <w:t>出差人员由接待单位或其他单位提供交通工具的，不实行上述包干办法。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lang w:eastAsia="zh-CN"/>
        </w:rPr>
      </w:pPr>
      <w:r>
        <w:rPr>
          <w:rFonts w:hint="eastAsia" w:ascii="黑体" w:hAnsi="黑体" w:eastAsia="黑体" w:cs="黑体"/>
          <w:lang w:eastAsia="zh-CN"/>
        </w:rPr>
        <w:t>第六章</w:t>
      </w:r>
      <w:r>
        <w:rPr>
          <w:rFonts w:hint="eastAsia" w:ascii="黑体" w:hAnsi="黑体" w:eastAsia="黑体" w:cs="黑体"/>
          <w:lang w:val="en-US" w:eastAsia="zh-CN"/>
        </w:rPr>
        <w:t xml:space="preserve"> </w:t>
      </w:r>
      <w:r>
        <w:rPr>
          <w:rFonts w:hint="eastAsia" w:ascii="黑体" w:hAnsi="黑体" w:eastAsia="黑体" w:cs="黑体"/>
          <w:lang w:eastAsia="zh-CN"/>
        </w:rPr>
        <w:t>报销管理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第二十二条</w:t>
      </w:r>
      <w:r>
        <w:rPr>
          <w:rFonts w:hint="eastAsia"/>
          <w:lang w:val="en-US" w:eastAsia="zh-CN"/>
        </w:rPr>
        <w:t xml:space="preserve"> 金堂基金会财务人员</w:t>
      </w:r>
      <w:r>
        <w:rPr>
          <w:rFonts w:hint="eastAsia"/>
          <w:lang w:eastAsia="zh-CN"/>
        </w:rPr>
        <w:t>应严格按照规定审核差旅费开支，对未经批准出差以及超范围、超标准开支的出差费用不予报销。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第二十三条</w:t>
      </w:r>
      <w:r>
        <w:rPr>
          <w:rFonts w:hint="eastAsia"/>
          <w:lang w:val="en-US" w:eastAsia="zh-CN"/>
        </w:rPr>
        <w:t xml:space="preserve"> </w:t>
      </w:r>
      <w:r>
        <w:rPr>
          <w:rFonts w:hint="eastAsia"/>
          <w:lang w:eastAsia="zh-CN"/>
        </w:rPr>
        <w:t>城市间交通费凭乘坐交通工具的行程单、车票等凭据报销，经批准发生的签转或退票费、交通意外保险费凭据报销。住宿费在标准限额内凭发票据实报销。伙食补助费、公杂费按出差目的地的标准报销，在途期间的伙食补助费按当天最后到达目的地的标准报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第二十四条</w:t>
      </w:r>
      <w:r>
        <w:rPr>
          <w:rFonts w:hint="eastAsia"/>
          <w:lang w:val="en-US" w:eastAsia="zh-CN"/>
        </w:rPr>
        <w:t xml:space="preserve"> </w:t>
      </w:r>
      <w:r>
        <w:rPr>
          <w:rFonts w:hint="eastAsia"/>
          <w:lang w:eastAsia="zh-CN"/>
        </w:rPr>
        <w:t>工作人员出差结束后应当及时办理报销手续，完整提供相关票据。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r>
        <w:rPr>
          <w:rFonts w:hint="eastAsia" w:ascii="黑体" w:hAnsi="黑体" w:eastAsia="黑体" w:cs="黑体"/>
          <w:lang w:eastAsia="zh-CN"/>
        </w:rPr>
        <w:t>第七章</w:t>
      </w:r>
      <w:r>
        <w:rPr>
          <w:rFonts w:hint="eastAsia" w:ascii="黑体" w:hAnsi="黑体" w:eastAsia="黑体" w:cs="黑体"/>
          <w:lang w:val="en-US" w:eastAsia="zh-CN"/>
        </w:rPr>
        <w:t xml:space="preserve"> </w:t>
      </w:r>
      <w:r>
        <w:rPr>
          <w:rFonts w:hint="eastAsia" w:ascii="黑体" w:hAnsi="黑体" w:eastAsia="黑体" w:cs="黑体"/>
          <w:lang w:eastAsia="zh-CN"/>
        </w:rPr>
        <w:t>附则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b w:val="0"/>
          <w:bCs w:val="0"/>
          <w:lang w:val="en-US" w:eastAsia="zh-CN"/>
        </w:rPr>
      </w:pPr>
      <w:r>
        <w:rPr>
          <w:rFonts w:hint="eastAsia"/>
          <w:b/>
          <w:bCs/>
          <w:lang w:eastAsia="zh-CN"/>
        </w:rPr>
        <w:t>第二十五条</w:t>
      </w:r>
      <w:r>
        <w:rPr>
          <w:rFonts w:hint="eastAsia"/>
          <w:b/>
          <w:bCs/>
          <w:lang w:val="en-US" w:eastAsia="zh-CN"/>
        </w:rPr>
        <w:t xml:space="preserve"> </w:t>
      </w:r>
      <w:r>
        <w:rPr>
          <w:rFonts w:hint="eastAsia"/>
          <w:b w:val="0"/>
          <w:bCs w:val="0"/>
          <w:lang w:val="en-US" w:eastAsia="zh-CN"/>
        </w:rPr>
        <w:t>本办法在实施过程中如与金堂基金会《章程》冲突则以《章程》为准。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第二十六条</w:t>
      </w:r>
      <w:r>
        <w:rPr>
          <w:rFonts w:hint="eastAsia"/>
          <w:lang w:val="en-US" w:eastAsia="zh-CN"/>
        </w:rPr>
        <w:t xml:space="preserve"> </w:t>
      </w:r>
      <w:r>
        <w:rPr>
          <w:rFonts w:hint="eastAsia"/>
          <w:lang w:eastAsia="zh-CN"/>
        </w:rPr>
        <w:t>本办法的解释权、修订权、补充权归金堂基金会所有。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pPr>
      <w:r>
        <w:rPr>
          <w:rFonts w:hint="eastAsia"/>
          <w:b/>
          <w:bCs/>
          <w:lang w:eastAsia="zh-CN"/>
        </w:rPr>
        <w:t>第二十七条</w:t>
      </w:r>
      <w:r>
        <w:rPr>
          <w:rFonts w:hint="eastAsia"/>
          <w:lang w:val="en-US" w:eastAsia="zh-CN"/>
        </w:rPr>
        <w:t xml:space="preserve"> </w:t>
      </w:r>
      <w:r>
        <w:rPr>
          <w:rFonts w:hint="eastAsia"/>
          <w:lang w:eastAsia="zh-CN"/>
        </w:rPr>
        <w:t>本办法自金堂基金会第一届理事会第三次会议审议通过后实施。</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31BD36FB"/>
    <w:rsid w:val="0FDC0538"/>
    <w:rsid w:val="14C72B96"/>
    <w:rsid w:val="179D6C2D"/>
    <w:rsid w:val="29357105"/>
    <w:rsid w:val="29A91F76"/>
    <w:rsid w:val="2F815BAC"/>
    <w:rsid w:val="31BD36FB"/>
    <w:rsid w:val="44303135"/>
    <w:rsid w:val="498D5A50"/>
    <w:rsid w:val="59F52161"/>
    <w:rsid w:val="5E8F11A9"/>
    <w:rsid w:val="61B139B1"/>
    <w:rsid w:val="796E6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1566</Words>
  <Characters>1582</Characters>
  <Lines>0</Lines>
  <Paragraphs>0</Paragraphs>
  <TotalTime>98</TotalTime>
  <ScaleCrop>false</ScaleCrop>
  <LinksUpToDate>false</LinksUpToDate>
  <CharactersWithSpaces>1616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2020-06-11T03:23:00Z</dcterms:created>
  <dc:creator>了无牵挂的TLY</dc:creator>
  <cp:lastModifiedBy>是情是缘是童真</cp:lastModifiedBy>
  <dcterms:modified xsi:type="dcterms:W3CDTF">2023-10-07T08:28:01Z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3A6E2C7762404B05884267A7B192F1C9_13</vt:lpwstr>
  </property>
</Properties>
</file>